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1" w:rsidRDefault="00826651" w:rsidP="0082665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7E2F140C" wp14:editId="6F2102EC">
            <wp:simplePos x="0" y="0"/>
            <wp:positionH relativeFrom="margin">
              <wp:posOffset>57150</wp:posOffset>
            </wp:positionH>
            <wp:positionV relativeFrom="paragraph">
              <wp:posOffset>-607060</wp:posOffset>
            </wp:positionV>
            <wp:extent cx="537210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651" w:rsidRDefault="00826651" w:rsidP="0082665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AR"/>
        </w:rPr>
      </w:pPr>
    </w:p>
    <w:p w:rsidR="00826651" w:rsidRDefault="00826651" w:rsidP="0082665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AR"/>
        </w:rPr>
      </w:pPr>
    </w:p>
    <w:p w:rsidR="00826651" w:rsidRDefault="00826651" w:rsidP="00826651">
      <w:pPr>
        <w:spacing w:after="0" w:line="360" w:lineRule="auto"/>
        <w:jc w:val="center"/>
        <w:rPr>
          <w:rFonts w:ascii="Bookman Old Style" w:eastAsia="Times New Roman" w:hAnsi="Bookman Old Style" w:cs="Arial"/>
          <w:b/>
          <w:sz w:val="24"/>
          <w:szCs w:val="24"/>
          <w:lang w:val="es-ES" w:eastAsia="es-ES"/>
        </w:rPr>
      </w:pPr>
      <w:r>
        <w:rPr>
          <w:rFonts w:ascii="Bookman Old Style" w:eastAsia="Times New Roman" w:hAnsi="Bookman Old Style" w:cs="Arial"/>
          <w:b/>
          <w:sz w:val="24"/>
          <w:szCs w:val="24"/>
          <w:lang w:val="es-ES" w:eastAsia="es-ES"/>
        </w:rPr>
        <w:t>PROOGRAMA ACADÉMICO</w:t>
      </w:r>
    </w:p>
    <w:p w:rsidR="00826651" w:rsidRDefault="00826651" w:rsidP="00826651">
      <w:pPr>
        <w:spacing w:after="0"/>
        <w:jc w:val="both"/>
      </w:pPr>
    </w:p>
    <w:p w:rsidR="007F30C6" w:rsidRDefault="00826651" w:rsidP="00826651">
      <w:pPr>
        <w:spacing w:after="0"/>
        <w:jc w:val="both"/>
      </w:pPr>
      <w:r w:rsidRPr="00826651">
        <w:rPr>
          <w:b/>
        </w:rPr>
        <w:t>CARRERA:</w:t>
      </w:r>
      <w:r>
        <w:t xml:space="preserve"> LICENCIATURA EN TRABAJO SOCIAL.</w:t>
      </w:r>
      <w:r w:rsidR="00540500">
        <w:t xml:space="preserve"> PROFESORADO DE HISTORIA. DERECHO.</w:t>
      </w:r>
    </w:p>
    <w:p w:rsidR="00826651" w:rsidRDefault="00826651" w:rsidP="00826651">
      <w:pPr>
        <w:spacing w:after="0"/>
        <w:jc w:val="both"/>
      </w:pPr>
      <w:r w:rsidRPr="00826651">
        <w:rPr>
          <w:b/>
        </w:rPr>
        <w:t xml:space="preserve">ASIGNATURA: </w:t>
      </w:r>
      <w:r>
        <w:t>“INTRODUCCIÓN A LA TEORÍA SOCIAL”.</w:t>
      </w:r>
    </w:p>
    <w:p w:rsidR="00826651" w:rsidRDefault="00826651" w:rsidP="00826651">
      <w:pPr>
        <w:spacing w:after="0"/>
        <w:jc w:val="both"/>
      </w:pPr>
      <w:r w:rsidRPr="00826651">
        <w:rPr>
          <w:b/>
        </w:rPr>
        <w:t>CÓDIGO:</w:t>
      </w:r>
      <w:r>
        <w:t xml:space="preserve"> 03.</w:t>
      </w:r>
    </w:p>
    <w:p w:rsidR="00826651" w:rsidRDefault="00826651" w:rsidP="00826651">
      <w:pPr>
        <w:spacing w:after="0"/>
        <w:jc w:val="both"/>
      </w:pPr>
      <w:r w:rsidRPr="00826651">
        <w:rPr>
          <w:b/>
        </w:rPr>
        <w:t>REGIMEN DE CURSADA:</w:t>
      </w:r>
      <w:r>
        <w:t xml:space="preserve"> REGULAR/LIBRE.</w:t>
      </w:r>
    </w:p>
    <w:p w:rsidR="00826651" w:rsidRDefault="00826651" w:rsidP="00826651">
      <w:pPr>
        <w:spacing w:after="0"/>
        <w:jc w:val="both"/>
      </w:pPr>
      <w:r w:rsidRPr="00826651">
        <w:rPr>
          <w:b/>
        </w:rPr>
        <w:t>DEDICACIÓN:</w:t>
      </w:r>
      <w:r>
        <w:t xml:space="preserve"> 1ER AÑO/CUATRIMESTRAL.</w:t>
      </w:r>
    </w:p>
    <w:p w:rsidR="00826651" w:rsidRDefault="00826651" w:rsidP="00826651">
      <w:pPr>
        <w:spacing w:after="0"/>
        <w:jc w:val="both"/>
      </w:pPr>
      <w:r w:rsidRPr="00826651">
        <w:rPr>
          <w:b/>
        </w:rPr>
        <w:t>CARGA HORARIA SEMANAL:</w:t>
      </w:r>
      <w:r>
        <w:t xml:space="preserve"> 3.</w:t>
      </w:r>
    </w:p>
    <w:p w:rsidR="00826651" w:rsidRDefault="00826651" w:rsidP="00826651">
      <w:pPr>
        <w:spacing w:after="0"/>
        <w:jc w:val="both"/>
      </w:pPr>
      <w:r w:rsidRPr="00826651">
        <w:rPr>
          <w:b/>
        </w:rPr>
        <w:t>CARGA HORARIATOTAL:</w:t>
      </w:r>
      <w:r>
        <w:t xml:space="preserve"> 48.</w:t>
      </w:r>
    </w:p>
    <w:p w:rsidR="00826651" w:rsidRDefault="00826651" w:rsidP="00826651">
      <w:pPr>
        <w:spacing w:after="0"/>
        <w:jc w:val="both"/>
      </w:pPr>
      <w:r w:rsidRPr="00826651">
        <w:rPr>
          <w:b/>
        </w:rPr>
        <w:t>CORRELATIVIDADES:</w:t>
      </w:r>
      <w:r>
        <w:t xml:space="preserve"> NO POSEE.</w:t>
      </w:r>
    </w:p>
    <w:p w:rsidR="00826651" w:rsidRDefault="00826651" w:rsidP="00826651">
      <w:pPr>
        <w:spacing w:after="0"/>
        <w:jc w:val="both"/>
      </w:pPr>
      <w:r w:rsidRPr="00826651">
        <w:rPr>
          <w:b/>
        </w:rPr>
        <w:t>PLAN/AÑO:</w:t>
      </w:r>
      <w:r w:rsidR="00540500">
        <w:t xml:space="preserve"> 2020</w:t>
      </w:r>
    </w:p>
    <w:p w:rsidR="00826651" w:rsidRDefault="00826651" w:rsidP="00826651">
      <w:pPr>
        <w:spacing w:after="0"/>
        <w:jc w:val="both"/>
      </w:pPr>
    </w:p>
    <w:p w:rsidR="00826651" w:rsidRPr="00826651" w:rsidRDefault="00826651" w:rsidP="00826651">
      <w:pPr>
        <w:pStyle w:val="Default"/>
        <w:rPr>
          <w:b/>
          <w:u w:val="single"/>
        </w:rPr>
      </w:pPr>
      <w:r w:rsidRPr="00826651">
        <w:rPr>
          <w:b/>
          <w:u w:val="single"/>
        </w:rPr>
        <w:t xml:space="preserve">I: Lineamientos generales de la asignatura: </w:t>
      </w:r>
    </w:p>
    <w:tbl>
      <w:tblPr>
        <w:tblW w:w="102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83"/>
        <w:gridCol w:w="4949"/>
        <w:gridCol w:w="168"/>
      </w:tblGrid>
      <w:tr w:rsidR="00826651" w:rsidTr="0086286B">
        <w:trPr>
          <w:gridAfter w:val="1"/>
          <w:wAfter w:w="168" w:type="dxa"/>
          <w:trHeight w:val="122"/>
        </w:trPr>
        <w:tc>
          <w:tcPr>
            <w:tcW w:w="5032" w:type="dxa"/>
          </w:tcPr>
          <w:p w:rsidR="00826651" w:rsidRDefault="00826651" w:rsidP="00826651">
            <w:pPr>
              <w:pStyle w:val="Default"/>
              <w:ind w:left="1080"/>
              <w:rPr>
                <w:sz w:val="23"/>
                <w:szCs w:val="23"/>
              </w:rPr>
            </w:pPr>
          </w:p>
        </w:tc>
        <w:tc>
          <w:tcPr>
            <w:tcW w:w="5032" w:type="dxa"/>
            <w:gridSpan w:val="2"/>
          </w:tcPr>
          <w:p w:rsidR="00826651" w:rsidRDefault="00826651">
            <w:pPr>
              <w:pStyle w:val="Default"/>
              <w:rPr>
                <w:sz w:val="23"/>
                <w:szCs w:val="23"/>
              </w:rPr>
            </w:pPr>
          </w:p>
        </w:tc>
      </w:tr>
      <w:tr w:rsidR="00826651" w:rsidTr="0086286B">
        <w:trPr>
          <w:gridAfter w:val="1"/>
          <w:wAfter w:w="168" w:type="dxa"/>
          <w:trHeight w:val="791"/>
        </w:trPr>
        <w:tc>
          <w:tcPr>
            <w:tcW w:w="10064" w:type="dxa"/>
            <w:gridSpan w:val="3"/>
          </w:tcPr>
          <w:p w:rsidR="00826651" w:rsidRDefault="008266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 Asignatura tiene por objeto introducir a los estudiantes en la comprensión del proceso socio-histórico de constitución de la teoría social, en relación con la dinámica del desarrollo capitalista. Favoreciendo la comprensión de los debates y conflictos que estructuran el conocimiento de la sociedad moderna. </w:t>
            </w:r>
          </w:p>
          <w:p w:rsidR="00826651" w:rsidRDefault="00826651">
            <w:pPr>
              <w:pStyle w:val="Default"/>
              <w:rPr>
                <w:sz w:val="23"/>
                <w:szCs w:val="23"/>
              </w:rPr>
            </w:pPr>
          </w:p>
          <w:p w:rsidR="00826651" w:rsidRPr="00826651" w:rsidRDefault="00826651">
            <w:pPr>
              <w:pStyle w:val="Default"/>
              <w:rPr>
                <w:b/>
                <w:sz w:val="23"/>
                <w:szCs w:val="23"/>
                <w:u w:val="single"/>
              </w:rPr>
            </w:pPr>
            <w:r w:rsidRPr="00826651">
              <w:rPr>
                <w:b/>
                <w:sz w:val="23"/>
                <w:szCs w:val="23"/>
                <w:u w:val="single"/>
              </w:rPr>
              <w:t>II: Objetivos de la asignatura:</w:t>
            </w:r>
          </w:p>
          <w:p w:rsidR="00826651" w:rsidRDefault="00826651">
            <w:pPr>
              <w:pStyle w:val="Default"/>
              <w:rPr>
                <w:sz w:val="23"/>
                <w:szCs w:val="23"/>
              </w:rPr>
            </w:pPr>
          </w:p>
        </w:tc>
      </w:tr>
      <w:tr w:rsidR="00826651" w:rsidTr="0086286B">
        <w:trPr>
          <w:gridAfter w:val="1"/>
          <w:wAfter w:w="168" w:type="dxa"/>
          <w:trHeight w:val="122"/>
        </w:trPr>
        <w:tc>
          <w:tcPr>
            <w:tcW w:w="5032" w:type="dxa"/>
          </w:tcPr>
          <w:p w:rsidR="00826651" w:rsidRDefault="008266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032" w:type="dxa"/>
            <w:gridSpan w:val="2"/>
          </w:tcPr>
          <w:p w:rsidR="00826651" w:rsidRDefault="00826651">
            <w:pPr>
              <w:pStyle w:val="Default"/>
              <w:rPr>
                <w:sz w:val="23"/>
                <w:szCs w:val="23"/>
              </w:rPr>
            </w:pPr>
          </w:p>
        </w:tc>
      </w:tr>
      <w:tr w:rsidR="00826651" w:rsidTr="0086286B">
        <w:trPr>
          <w:gridAfter w:val="1"/>
          <w:wAfter w:w="168" w:type="dxa"/>
          <w:trHeight w:val="2133"/>
        </w:trPr>
        <w:tc>
          <w:tcPr>
            <w:tcW w:w="10064" w:type="dxa"/>
            <w:gridSpan w:val="3"/>
          </w:tcPr>
          <w:p w:rsidR="00826651" w:rsidRDefault="00826651" w:rsidP="00826651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826651">
              <w:rPr>
                <w:sz w:val="23"/>
                <w:szCs w:val="23"/>
              </w:rPr>
              <w:t xml:space="preserve">Introducir a los alumnos en la comprensión de los principales dilemas de las Ciencias Sociales y su contexto de surgimiento. </w:t>
            </w:r>
          </w:p>
          <w:p w:rsidR="00826651" w:rsidRDefault="00826651" w:rsidP="00826651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826651">
              <w:rPr>
                <w:sz w:val="23"/>
                <w:szCs w:val="23"/>
              </w:rPr>
              <w:t xml:space="preserve">Brindar a los alumnos los elementos básicos que le permitan familiarizarse con las categorías y conceptos propios de la teoría social, a fin de desarrollar su capacidad de pensamiento teórico y de análisis de los fenómenos sociales. </w:t>
            </w:r>
          </w:p>
          <w:p w:rsidR="00826651" w:rsidRDefault="00826651" w:rsidP="00826651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826651">
              <w:rPr>
                <w:sz w:val="23"/>
                <w:szCs w:val="23"/>
              </w:rPr>
              <w:t xml:space="preserve">Favorecer el conocimiento de la realidad social desde con mirada científica, utilizando críticamente las categorías teóricas de análisis de la sociología. </w:t>
            </w:r>
          </w:p>
          <w:p w:rsidR="00826651" w:rsidRDefault="00826651" w:rsidP="00826651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826651">
              <w:rPr>
                <w:sz w:val="23"/>
                <w:szCs w:val="23"/>
              </w:rPr>
              <w:t>Promover en los estudiantes la capacidad reflexiva y crítica a fin de distinguir lo fundamental de lo accesorio en el análisis, interpretación y valoración de las fuentes bibliográficas.</w:t>
            </w:r>
          </w:p>
          <w:p w:rsidR="00826651" w:rsidRDefault="00826651">
            <w:pPr>
              <w:pStyle w:val="Default"/>
              <w:rPr>
                <w:sz w:val="23"/>
                <w:szCs w:val="23"/>
              </w:rPr>
            </w:pPr>
          </w:p>
        </w:tc>
      </w:tr>
      <w:tr w:rsidR="00826651" w:rsidTr="0086286B">
        <w:trPr>
          <w:gridAfter w:val="1"/>
          <w:wAfter w:w="168" w:type="dxa"/>
          <w:trHeight w:val="2133"/>
        </w:trPr>
        <w:tc>
          <w:tcPr>
            <w:tcW w:w="10064" w:type="dxa"/>
            <w:gridSpan w:val="3"/>
            <w:tcBorders>
              <w:left w:val="nil"/>
              <w:right w:val="nil"/>
            </w:tcBorders>
          </w:tcPr>
          <w:p w:rsidR="00BF5CAE" w:rsidRDefault="00BF5CAE" w:rsidP="00826651">
            <w:pPr>
              <w:pStyle w:val="Default"/>
              <w:ind w:left="720"/>
              <w:rPr>
                <w:rFonts w:cs="Times New Roman"/>
                <w:color w:val="auto"/>
              </w:rPr>
            </w:pPr>
          </w:p>
          <w:p w:rsidR="00826651" w:rsidRPr="00826651" w:rsidRDefault="00826651" w:rsidP="00BF5CAE">
            <w:pPr>
              <w:pStyle w:val="Default"/>
              <w:rPr>
                <w:rFonts w:cs="Times New Roman"/>
                <w:color w:val="auto"/>
              </w:rPr>
            </w:pPr>
            <w:r w:rsidRPr="00826651">
              <w:rPr>
                <w:rFonts w:cs="Times New Roman"/>
                <w:color w:val="auto"/>
              </w:rPr>
              <w:t xml:space="preserve">Actividades áulicas y/o de territorio (ejemplo: modalidad de dictado, exposiciones orales, análisis de textos, actividades en grupo, etc.) </w:t>
            </w:r>
          </w:p>
        </w:tc>
      </w:tr>
      <w:tr w:rsidR="00826651" w:rsidTr="0086286B">
        <w:trPr>
          <w:gridAfter w:val="1"/>
          <w:wAfter w:w="168" w:type="dxa"/>
          <w:trHeight w:val="2133"/>
        </w:trPr>
        <w:tc>
          <w:tcPr>
            <w:tcW w:w="10064" w:type="dxa"/>
            <w:gridSpan w:val="3"/>
            <w:tcBorders>
              <w:left w:val="nil"/>
              <w:right w:val="nil"/>
            </w:tcBorders>
          </w:tcPr>
          <w:p w:rsidR="00826651" w:rsidRPr="00BF5CAE" w:rsidRDefault="00826651">
            <w:pPr>
              <w:pStyle w:val="Default"/>
              <w:rPr>
                <w:rFonts w:cs="Times New Roman"/>
                <w:b/>
                <w:color w:val="auto"/>
                <w:u w:val="single"/>
              </w:rPr>
            </w:pPr>
            <w:r w:rsidRPr="00BF5CAE">
              <w:rPr>
                <w:rFonts w:cs="Times New Roman"/>
                <w:b/>
                <w:color w:val="auto"/>
                <w:u w:val="single"/>
              </w:rPr>
              <w:lastRenderedPageBreak/>
              <w:t xml:space="preserve">PROPUESTA PEDAGÓGICA </w:t>
            </w:r>
          </w:p>
          <w:p w:rsidR="00826651" w:rsidRPr="00BF5CAE" w:rsidRDefault="00826651" w:rsidP="00F71215">
            <w:pPr>
              <w:pStyle w:val="Default"/>
              <w:jc w:val="both"/>
              <w:rPr>
                <w:rFonts w:cs="Times New Roman"/>
                <w:b/>
                <w:color w:val="auto"/>
                <w:u w:val="single"/>
              </w:rPr>
            </w:pPr>
            <w:r w:rsidRPr="00BF5CAE">
              <w:rPr>
                <w:rFonts w:cs="Times New Roman"/>
                <w:b/>
                <w:color w:val="auto"/>
                <w:u w:val="single"/>
              </w:rPr>
              <w:t xml:space="preserve">Metodología de enseñanza-aprendizaje: </w:t>
            </w:r>
          </w:p>
          <w:p w:rsidR="00826651" w:rsidRPr="00826651" w:rsidRDefault="00826651" w:rsidP="00F71215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826651">
              <w:rPr>
                <w:rFonts w:cs="Times New Roman"/>
                <w:color w:val="auto"/>
              </w:rPr>
              <w:t xml:space="preserve">La asignatura se dictará en tres (3) horas semanales de clases teórico-prácticas. Los contenidos se </w:t>
            </w:r>
            <w:r w:rsidR="00BF5CAE">
              <w:rPr>
                <w:rFonts w:cs="Times New Roman"/>
                <w:color w:val="auto"/>
              </w:rPr>
              <w:t>encuentran estructurados en cuatro</w:t>
            </w:r>
            <w:r w:rsidRPr="00826651">
              <w:rPr>
                <w:rFonts w:cs="Times New Roman"/>
                <w:color w:val="auto"/>
              </w:rPr>
              <w:t xml:space="preserve"> módulos temáticos, los cuales serán evaluados con </w:t>
            </w:r>
            <w:r w:rsidR="00BF5CAE">
              <w:rPr>
                <w:rFonts w:cs="Times New Roman"/>
                <w:color w:val="auto"/>
              </w:rPr>
              <w:t>1 (uno) examen parcial y su correspondiente recuperatorio</w:t>
            </w:r>
            <w:r w:rsidRPr="00826651">
              <w:rPr>
                <w:rFonts w:cs="Times New Roman"/>
                <w:color w:val="auto"/>
              </w:rPr>
              <w:t xml:space="preserve">. </w:t>
            </w:r>
          </w:p>
          <w:p w:rsidR="00826651" w:rsidRPr="00826651" w:rsidRDefault="00826651" w:rsidP="00F71215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826651">
              <w:rPr>
                <w:rFonts w:cs="Times New Roman"/>
                <w:color w:val="auto"/>
              </w:rPr>
              <w:t xml:space="preserve">Para favorecer la comprensión de las principales categorías conceptuales, se desarrollarán </w:t>
            </w:r>
            <w:r w:rsidR="00540500">
              <w:rPr>
                <w:rFonts w:cs="Times New Roman"/>
                <w:color w:val="auto"/>
              </w:rPr>
              <w:t xml:space="preserve">actividades de </w:t>
            </w:r>
            <w:r w:rsidRPr="00826651">
              <w:rPr>
                <w:rFonts w:cs="Times New Roman"/>
                <w:color w:val="auto"/>
              </w:rPr>
              <w:t xml:space="preserve">trabajos prácticos con consignas específicas, los cuales serán evaluados, formando parte de la nota final. Además, se prevé la realización de </w:t>
            </w:r>
            <w:r w:rsidR="00BF5CAE">
              <w:rPr>
                <w:rFonts w:cs="Times New Roman"/>
                <w:color w:val="auto"/>
              </w:rPr>
              <w:t xml:space="preserve">1 (una) actividad grupal final expositiva </w:t>
            </w:r>
            <w:r w:rsidR="00540500">
              <w:rPr>
                <w:rFonts w:cs="Times New Roman"/>
                <w:color w:val="auto"/>
              </w:rPr>
              <w:t xml:space="preserve">y de investigación escrita, </w:t>
            </w:r>
            <w:r w:rsidR="00BF5CAE">
              <w:rPr>
                <w:rFonts w:cs="Times New Roman"/>
                <w:color w:val="auto"/>
              </w:rPr>
              <w:t xml:space="preserve">en donde los estudiantes puedan apropiarse del material teórico y analizar una situación social en términos conceptuales. Se espera </w:t>
            </w:r>
            <w:r w:rsidR="00540500">
              <w:rPr>
                <w:rFonts w:cs="Times New Roman"/>
                <w:color w:val="auto"/>
              </w:rPr>
              <w:t xml:space="preserve">(salvando situaciones coyunturales) </w:t>
            </w:r>
            <w:r w:rsidR="00BF5CAE">
              <w:rPr>
                <w:rFonts w:cs="Times New Roman"/>
                <w:color w:val="auto"/>
              </w:rPr>
              <w:t xml:space="preserve">que la dinámica de la exposición oral y grupal, </w:t>
            </w:r>
            <w:r w:rsidRPr="00826651">
              <w:rPr>
                <w:rFonts w:cs="Times New Roman"/>
                <w:color w:val="auto"/>
              </w:rPr>
              <w:t>fav</w:t>
            </w:r>
            <w:r w:rsidR="00F71215">
              <w:rPr>
                <w:rFonts w:cs="Times New Roman"/>
                <w:color w:val="auto"/>
              </w:rPr>
              <w:t xml:space="preserve">orezca </w:t>
            </w:r>
            <w:r w:rsidRPr="00826651">
              <w:rPr>
                <w:rFonts w:cs="Times New Roman"/>
                <w:color w:val="auto"/>
              </w:rPr>
              <w:t xml:space="preserve">el intercambio de ideas entre los estudiantes. </w:t>
            </w:r>
          </w:p>
          <w:p w:rsidR="00826651" w:rsidRDefault="00826651" w:rsidP="00F71215">
            <w:pPr>
              <w:pStyle w:val="Default"/>
              <w:jc w:val="both"/>
              <w:rPr>
                <w:rFonts w:cs="Times New Roman"/>
                <w:color w:val="auto"/>
              </w:rPr>
            </w:pPr>
            <w:r w:rsidRPr="00826651">
              <w:rPr>
                <w:rFonts w:cs="Times New Roman"/>
                <w:color w:val="auto"/>
              </w:rPr>
              <w:t>Es requisito para la aprobación de la materia, un mínimo de 80 % de asistencia</w:t>
            </w:r>
            <w:r w:rsidR="00540500">
              <w:rPr>
                <w:rStyle w:val="Refdenotaalpie"/>
                <w:rFonts w:cs="Times New Roman"/>
                <w:color w:val="auto"/>
              </w:rPr>
              <w:footnoteReference w:id="1"/>
            </w:r>
            <w:r w:rsidRPr="00826651">
              <w:rPr>
                <w:rFonts w:cs="Times New Roman"/>
                <w:color w:val="auto"/>
              </w:rPr>
              <w:t xml:space="preserve"> sobre el total de clases teóricas –prácticas, obtener una calificación de 4 / 10 o más, de promedio de notas en los exámenes parciales y en los trabajos prácticos especiales y la aprobación del examen final una vez concluida y aprobada la cursada. </w:t>
            </w:r>
          </w:p>
          <w:p w:rsidR="00F71215" w:rsidRDefault="00F71215" w:rsidP="00F7121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F71215" w:rsidRPr="00F71215" w:rsidRDefault="00F71215" w:rsidP="00F71215">
            <w:pPr>
              <w:pStyle w:val="Default"/>
              <w:jc w:val="both"/>
              <w:rPr>
                <w:rFonts w:cs="Times New Roman"/>
                <w:b/>
                <w:color w:val="auto"/>
                <w:u w:val="single"/>
              </w:rPr>
            </w:pPr>
            <w:r w:rsidRPr="00F71215">
              <w:rPr>
                <w:rFonts w:cs="Times New Roman"/>
                <w:b/>
                <w:color w:val="auto"/>
                <w:u w:val="single"/>
              </w:rPr>
              <w:t>IV: Modalidad de evaluación y aprobación de la materia</w:t>
            </w:r>
            <w:r>
              <w:rPr>
                <w:rFonts w:cs="Times New Roman"/>
                <w:b/>
                <w:color w:val="auto"/>
                <w:u w:val="single"/>
              </w:rPr>
              <w:t xml:space="preserve"> (ejemplo: condiciones para obtener la regularidad, criterios de evaluación, sistema de evaluación…)</w:t>
            </w:r>
            <w:r w:rsidRPr="00F71215">
              <w:rPr>
                <w:rFonts w:cs="Times New Roman"/>
                <w:b/>
                <w:color w:val="auto"/>
                <w:u w:val="single"/>
              </w:rPr>
              <w:t xml:space="preserve">: </w:t>
            </w:r>
            <w:r w:rsidR="00540500">
              <w:rPr>
                <w:rStyle w:val="Refdenotaalpie"/>
                <w:rFonts w:cs="Times New Roman"/>
                <w:b/>
                <w:color w:val="auto"/>
                <w:u w:val="single"/>
              </w:rPr>
              <w:footnoteReference w:id="2"/>
            </w:r>
          </w:p>
          <w:p w:rsidR="00F71215" w:rsidRPr="00826651" w:rsidRDefault="00F71215" w:rsidP="00F71215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826651" w:rsidTr="0086286B">
        <w:trPr>
          <w:trHeight w:val="275"/>
        </w:trPr>
        <w:tc>
          <w:tcPr>
            <w:tcW w:w="5115" w:type="dxa"/>
            <w:gridSpan w:val="2"/>
          </w:tcPr>
          <w:p w:rsidR="00826651" w:rsidRDefault="008266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16" w:type="dxa"/>
            <w:gridSpan w:val="2"/>
          </w:tcPr>
          <w:p w:rsidR="00826651" w:rsidRDefault="00826651">
            <w:pPr>
              <w:pStyle w:val="Default"/>
              <w:rPr>
                <w:sz w:val="23"/>
                <w:szCs w:val="23"/>
              </w:rPr>
            </w:pPr>
          </w:p>
        </w:tc>
      </w:tr>
      <w:tr w:rsidR="00826651" w:rsidTr="0086286B">
        <w:trPr>
          <w:trHeight w:val="1488"/>
        </w:trPr>
        <w:tc>
          <w:tcPr>
            <w:tcW w:w="10232" w:type="dxa"/>
            <w:gridSpan w:val="4"/>
          </w:tcPr>
          <w:p w:rsidR="00826651" w:rsidRPr="00F71215" w:rsidRDefault="00826651">
            <w:pPr>
              <w:pStyle w:val="Default"/>
              <w:rPr>
                <w:sz w:val="23"/>
                <w:szCs w:val="23"/>
                <w:u w:val="single"/>
              </w:rPr>
            </w:pPr>
            <w:r w:rsidRPr="00F71215">
              <w:rPr>
                <w:b/>
                <w:bCs/>
                <w:sz w:val="23"/>
                <w:szCs w:val="23"/>
                <w:u w:val="single"/>
              </w:rPr>
              <w:t xml:space="preserve">Requisitos de aprobación de la materia </w:t>
            </w:r>
          </w:p>
          <w:p w:rsidR="00826651" w:rsidRPr="00F71215" w:rsidRDefault="00826651">
            <w:pPr>
              <w:pStyle w:val="Default"/>
              <w:rPr>
                <w:sz w:val="23"/>
                <w:szCs w:val="23"/>
                <w:u w:val="single"/>
              </w:rPr>
            </w:pPr>
            <w:r w:rsidRPr="00F71215">
              <w:rPr>
                <w:b/>
                <w:bCs/>
                <w:sz w:val="23"/>
                <w:szCs w:val="23"/>
                <w:u w:val="single"/>
              </w:rPr>
              <w:t xml:space="preserve">Sistema de evaluación: </w:t>
            </w:r>
          </w:p>
          <w:p w:rsidR="00826651" w:rsidRDefault="008266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Cada alumno será evaluado teniendo en cuenta las siguientes modalidades: </w:t>
            </w:r>
          </w:p>
          <w:p w:rsidR="00826651" w:rsidRDefault="008266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(dos) trabajos prácticos grupales (desarrollados en grupos hasta </w:t>
            </w:r>
            <w:r w:rsidR="00F71215">
              <w:rPr>
                <w:sz w:val="23"/>
                <w:szCs w:val="23"/>
              </w:rPr>
              <w:t>4(</w:t>
            </w:r>
            <w:r>
              <w:rPr>
                <w:sz w:val="23"/>
                <w:szCs w:val="23"/>
              </w:rPr>
              <w:t>c</w:t>
            </w:r>
            <w:r w:rsidR="00F71215">
              <w:rPr>
                <w:sz w:val="23"/>
                <w:szCs w:val="23"/>
              </w:rPr>
              <w:t>uatro)</w:t>
            </w:r>
            <w:r>
              <w:rPr>
                <w:sz w:val="23"/>
                <w:szCs w:val="23"/>
              </w:rPr>
              <w:t xml:space="preserve"> integrantes, con consignas específicas que favorezcan la comprensión crítica y reflexiva de la bibliografía y a su vez que permitan el abordaje grupal de situaciones problemáticas específicas. Los Trabajos Prácticos son promediados en forma ponderal, constituyendo una de las calificaciones finales del alumno. </w:t>
            </w:r>
          </w:p>
          <w:p w:rsidR="00826651" w:rsidRDefault="00826651">
            <w:pPr>
              <w:pStyle w:val="Default"/>
              <w:rPr>
                <w:sz w:val="23"/>
                <w:szCs w:val="23"/>
              </w:rPr>
            </w:pPr>
          </w:p>
        </w:tc>
      </w:tr>
      <w:tr w:rsidR="00F71215" w:rsidRPr="00F71215" w:rsidTr="0086286B">
        <w:trPr>
          <w:trHeight w:val="1488"/>
        </w:trPr>
        <w:tc>
          <w:tcPr>
            <w:tcW w:w="10232" w:type="dxa"/>
            <w:gridSpan w:val="4"/>
            <w:tcBorders>
              <w:left w:val="nil"/>
              <w:bottom w:val="nil"/>
              <w:right w:val="nil"/>
            </w:tcBorders>
          </w:tcPr>
          <w:p w:rsidR="00F71215" w:rsidRPr="00F71215" w:rsidRDefault="00F71215">
            <w:pPr>
              <w:pStyle w:val="Default"/>
              <w:rPr>
                <w:bCs/>
                <w:sz w:val="23"/>
                <w:szCs w:val="23"/>
              </w:rPr>
            </w:pPr>
            <w:r w:rsidRPr="00F71215">
              <w:rPr>
                <w:bCs/>
                <w:sz w:val="23"/>
                <w:szCs w:val="23"/>
              </w:rPr>
              <w:t>1 (uno) examen parcial áulico e individual, el cual podrá ser oral o escrito y prevé el desarrollo de consignas específicas, orientadas fundamentalmente a la comprensión de la bibliografía obligatoria.</w:t>
            </w:r>
            <w:r>
              <w:rPr>
                <w:bCs/>
                <w:sz w:val="23"/>
                <w:szCs w:val="23"/>
              </w:rPr>
              <w:t xml:space="preserve"> Con su correspondiente recuperatorio al finalizar la cursada.</w:t>
            </w:r>
            <w:r w:rsidRPr="00F71215">
              <w:rPr>
                <w:bCs/>
                <w:sz w:val="23"/>
                <w:szCs w:val="23"/>
              </w:rPr>
              <w:t xml:space="preserve"> </w:t>
            </w:r>
          </w:p>
          <w:p w:rsidR="00F71215" w:rsidRPr="00F71215" w:rsidRDefault="00F71215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1 (una) </w:t>
            </w:r>
            <w:r w:rsidRPr="00F71215">
              <w:rPr>
                <w:bCs/>
                <w:sz w:val="23"/>
                <w:szCs w:val="23"/>
              </w:rPr>
              <w:t xml:space="preserve">actividad plenaria grupal al finalizar </w:t>
            </w:r>
            <w:r>
              <w:rPr>
                <w:bCs/>
                <w:sz w:val="23"/>
                <w:szCs w:val="23"/>
              </w:rPr>
              <w:t xml:space="preserve">la cursada en la que se analice teórica y conceptualmente una situación problemática. </w:t>
            </w:r>
          </w:p>
          <w:p w:rsidR="0086286B" w:rsidRDefault="00F71215" w:rsidP="00F71215">
            <w:pPr>
              <w:pStyle w:val="Default"/>
              <w:rPr>
                <w:bCs/>
                <w:sz w:val="23"/>
                <w:szCs w:val="23"/>
              </w:rPr>
            </w:pPr>
            <w:r w:rsidRPr="00F71215">
              <w:rPr>
                <w:bCs/>
                <w:sz w:val="23"/>
                <w:szCs w:val="23"/>
              </w:rPr>
              <w:t>En resumen, al finalizar la cursada de la materia, el estudia</w:t>
            </w:r>
            <w:r>
              <w:rPr>
                <w:bCs/>
                <w:sz w:val="23"/>
                <w:szCs w:val="23"/>
              </w:rPr>
              <w:t>nte cuenta con por lo menos 4(cuatro)</w:t>
            </w:r>
            <w:r w:rsidRPr="00F71215">
              <w:rPr>
                <w:bCs/>
                <w:sz w:val="23"/>
                <w:szCs w:val="23"/>
              </w:rPr>
              <w:t xml:space="preserve"> calificaciones provenientes de las</w:t>
            </w:r>
            <w:r>
              <w:rPr>
                <w:bCs/>
                <w:sz w:val="23"/>
                <w:szCs w:val="23"/>
              </w:rPr>
              <w:t xml:space="preserve"> distintas modalidades evaluativas</w:t>
            </w:r>
          </w:p>
          <w:p w:rsidR="0086286B" w:rsidRDefault="0086286B" w:rsidP="00F71215">
            <w:pPr>
              <w:pStyle w:val="Default"/>
              <w:rPr>
                <w:bCs/>
                <w:sz w:val="23"/>
                <w:szCs w:val="23"/>
              </w:rPr>
            </w:pPr>
          </w:p>
          <w:p w:rsidR="0086286B" w:rsidRPr="00F71215" w:rsidRDefault="00F71215" w:rsidP="00F71215">
            <w:pPr>
              <w:pStyle w:val="Default"/>
              <w:rPr>
                <w:bCs/>
                <w:sz w:val="23"/>
                <w:szCs w:val="23"/>
              </w:rPr>
            </w:pPr>
            <w:r w:rsidRPr="00F71215">
              <w:rPr>
                <w:bCs/>
                <w:sz w:val="23"/>
                <w:szCs w:val="23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5"/>
            </w:tblGrid>
            <w:tr w:rsidR="0086286B" w:rsidRPr="0086286B" w:rsidTr="0086286B">
              <w:trPr>
                <w:trHeight w:val="120"/>
              </w:trPr>
              <w:tc>
                <w:tcPr>
                  <w:tcW w:w="9925" w:type="dxa"/>
                </w:tcPr>
                <w:p w:rsidR="00A563A6" w:rsidRPr="00A563A6" w:rsidRDefault="00A563A6" w:rsidP="008628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u w:val="single"/>
                    </w:rPr>
                  </w:pPr>
                </w:p>
                <w:p w:rsidR="00A563A6" w:rsidRPr="00A563A6" w:rsidRDefault="00A563A6" w:rsidP="008628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u w:val="single"/>
                    </w:rPr>
                  </w:pPr>
                </w:p>
                <w:p w:rsidR="00A563A6" w:rsidRPr="00A563A6" w:rsidRDefault="00A563A6" w:rsidP="008628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u w:val="single"/>
                    </w:rPr>
                  </w:pPr>
                </w:p>
                <w:p w:rsidR="00A563A6" w:rsidRPr="00A563A6" w:rsidRDefault="00A563A6" w:rsidP="008628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u w:val="single"/>
                    </w:rPr>
                  </w:pPr>
                </w:p>
                <w:p w:rsidR="00A563A6" w:rsidRPr="00A563A6" w:rsidRDefault="00A563A6" w:rsidP="008628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u w:val="single"/>
                    </w:rPr>
                  </w:pPr>
                </w:p>
                <w:p w:rsidR="0086286B" w:rsidRPr="0086286B" w:rsidRDefault="00A563A6" w:rsidP="008628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  <w:u w:val="single"/>
                    </w:rPr>
                  </w:pPr>
                  <w:r w:rsidRPr="00A563A6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u w:val="single"/>
                    </w:rPr>
                    <w:t xml:space="preserve">V. </w:t>
                  </w:r>
                  <w:r w:rsidR="0086286B" w:rsidRPr="0086286B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u w:val="single"/>
                    </w:rPr>
                    <w:t xml:space="preserve">Programa de la asignatura (ejemplo: contenidos de los módulos o temas o clases) </w:t>
                  </w:r>
                </w:p>
              </w:tc>
            </w:tr>
            <w:tr w:rsidR="0086286B" w:rsidRPr="0086286B" w:rsidTr="0086286B">
              <w:trPr>
                <w:trHeight w:val="2978"/>
              </w:trPr>
              <w:tc>
                <w:tcPr>
                  <w:tcW w:w="9925" w:type="dxa"/>
                </w:tcPr>
                <w:p w:rsidR="00A563A6" w:rsidRDefault="00A563A6" w:rsidP="008628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:rsidR="0086286B" w:rsidRPr="0086286B" w:rsidRDefault="0086286B" w:rsidP="008628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  <w:u w:val="single"/>
                    </w:rPr>
                  </w:pPr>
                  <w:r w:rsidRPr="0086286B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u w:val="single"/>
                    </w:rPr>
                    <w:t xml:space="preserve">Módulo 1 </w:t>
                  </w:r>
                </w:p>
                <w:p w:rsidR="00A563A6" w:rsidRDefault="00A563A6" w:rsidP="00A563A6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Contexto histórico-social de las ciencias sociales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..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A563A6" w:rsidRDefault="0086286B" w:rsidP="00A563A6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A563A6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Los principales dilemas de las Ciencias Sociales. Las ciencias sociales y su relación con el contexto socio-histórico</w:t>
                  </w:r>
                  <w:r w:rsidR="00A563A6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.</w:t>
                  </w:r>
                </w:p>
                <w:p w:rsidR="00A563A6" w:rsidRDefault="0086286B" w:rsidP="0086286B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86286B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El sentido común y su relación con las Ciencias Sociales. </w:t>
                  </w:r>
                </w:p>
                <w:p w:rsidR="00A563A6" w:rsidRDefault="00A563A6" w:rsidP="0086286B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Individualización y secularización. </w:t>
                  </w:r>
                </w:p>
                <w:p w:rsidR="0086286B" w:rsidRPr="0086286B" w:rsidRDefault="0086286B" w:rsidP="008628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</w:p>
                <w:p w:rsidR="0086286B" w:rsidRPr="0086286B" w:rsidRDefault="0086286B" w:rsidP="008628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  <w:u w:val="single"/>
                    </w:rPr>
                  </w:pPr>
                  <w:r w:rsidRPr="0086286B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u w:val="single"/>
                    </w:rPr>
                    <w:t xml:space="preserve">Módulo 2 </w:t>
                  </w:r>
                </w:p>
                <w:p w:rsidR="00A563A6" w:rsidRDefault="00A563A6" w:rsidP="0086286B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A563A6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La</w:t>
                  </w:r>
                  <w:r w:rsidR="0086286B" w:rsidRPr="00A563A6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Modern</w:t>
                  </w:r>
                  <w:r w:rsidRPr="00A563A6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idad</w:t>
                  </w:r>
                  <w:r w:rsidR="0086286B" w:rsidRPr="00A563A6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en la constitución de las disciplinas sociales. </w:t>
                  </w:r>
                </w:p>
                <w:p w:rsidR="00A563A6" w:rsidRDefault="0086286B" w:rsidP="0086286B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86286B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Las revoluciones industriales. La lógica del desarrollo capitalista. </w:t>
                  </w:r>
                  <w:r w:rsidR="00A563A6" w:rsidRPr="00A563A6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Transformaciones económicas. </w:t>
                  </w:r>
                </w:p>
                <w:p w:rsidR="0086286B" w:rsidRPr="0086286B" w:rsidRDefault="0086286B" w:rsidP="00A563A6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86286B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Las modernas sociedades capitalistas: Los modos de producción d</w:t>
                  </w:r>
                  <w:r w:rsidR="00A563A6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e la vida material y las formas</w:t>
                  </w:r>
                </w:p>
              </w:tc>
            </w:tr>
          </w:tbl>
          <w:p w:rsidR="00540500" w:rsidRDefault="00A563A6" w:rsidP="0086286B">
            <w:pPr>
              <w:pStyle w:val="Default"/>
              <w:rPr>
                <w:sz w:val="23"/>
                <w:szCs w:val="23"/>
              </w:rPr>
            </w:pPr>
            <w:r>
              <w:rPr>
                <w:rFonts w:cs="Times New Roman"/>
                <w:color w:val="auto"/>
              </w:rPr>
              <w:t xml:space="preserve">               </w:t>
            </w:r>
            <w:proofErr w:type="gramStart"/>
            <w:r>
              <w:rPr>
                <w:rFonts w:cs="Times New Roman"/>
                <w:color w:val="auto"/>
              </w:rPr>
              <w:t>h</w:t>
            </w:r>
            <w:r w:rsidR="0086286B">
              <w:rPr>
                <w:sz w:val="23"/>
                <w:szCs w:val="23"/>
              </w:rPr>
              <w:t>istóricas</w:t>
            </w:r>
            <w:proofErr w:type="gramEnd"/>
            <w:r w:rsidR="0086286B">
              <w:rPr>
                <w:sz w:val="23"/>
                <w:szCs w:val="23"/>
              </w:rPr>
              <w:t xml:space="preserve"> de sociedad. Su relación con el s</w:t>
            </w:r>
            <w:r w:rsidR="00540500">
              <w:rPr>
                <w:sz w:val="23"/>
                <w:szCs w:val="23"/>
              </w:rPr>
              <w:t>urgimiento de la teoría social.</w:t>
            </w:r>
          </w:p>
          <w:p w:rsidR="00540500" w:rsidRDefault="00540500" w:rsidP="00CC290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A563A6">
              <w:rPr>
                <w:sz w:val="23"/>
                <w:szCs w:val="23"/>
              </w:rPr>
              <w:t xml:space="preserve">Conceptos claves en la Teoría Social. </w:t>
            </w:r>
          </w:p>
          <w:p w:rsidR="0086286B" w:rsidRDefault="0086286B" w:rsidP="0086286B">
            <w:pPr>
              <w:pStyle w:val="Default"/>
              <w:rPr>
                <w:sz w:val="23"/>
                <w:szCs w:val="23"/>
              </w:rPr>
            </w:pPr>
          </w:p>
          <w:p w:rsidR="0086286B" w:rsidRPr="00A563A6" w:rsidRDefault="0086286B" w:rsidP="0086286B">
            <w:pPr>
              <w:pStyle w:val="Default"/>
              <w:rPr>
                <w:sz w:val="23"/>
                <w:szCs w:val="23"/>
                <w:u w:val="single"/>
              </w:rPr>
            </w:pPr>
            <w:r w:rsidRPr="00A563A6">
              <w:rPr>
                <w:b/>
                <w:bCs/>
                <w:sz w:val="23"/>
                <w:szCs w:val="23"/>
                <w:u w:val="single"/>
              </w:rPr>
              <w:t xml:space="preserve">Módulo 3 </w:t>
            </w:r>
          </w:p>
          <w:p w:rsidR="00FA428F" w:rsidRDefault="00A563A6" w:rsidP="00CC290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Ideología. Producción y reproducción de hegemonía. </w:t>
            </w:r>
          </w:p>
          <w:p w:rsidR="00FA428F" w:rsidRDefault="00FA428F" w:rsidP="00CC290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FA428F">
              <w:rPr>
                <w:sz w:val="23"/>
                <w:szCs w:val="23"/>
              </w:rPr>
              <w:t xml:space="preserve">Estructuras sociales. Clase social. </w:t>
            </w:r>
            <w:r w:rsidR="0086286B" w:rsidRPr="00FA428F">
              <w:rPr>
                <w:sz w:val="23"/>
                <w:szCs w:val="23"/>
              </w:rPr>
              <w:t xml:space="preserve">Movilidad social - Vida Cotidiana. </w:t>
            </w:r>
          </w:p>
          <w:p w:rsidR="00FA428F" w:rsidRDefault="0086286B" w:rsidP="00CC290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FA428F">
              <w:rPr>
                <w:sz w:val="23"/>
                <w:szCs w:val="23"/>
              </w:rPr>
              <w:t>Autoridad – Poder.</w:t>
            </w:r>
          </w:p>
          <w:p w:rsidR="0086286B" w:rsidRDefault="00FA428F" w:rsidP="00FA428F">
            <w:pPr>
              <w:pStyle w:val="Default"/>
              <w:ind w:left="76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86286B" w:rsidRPr="00FA428F" w:rsidRDefault="0086286B" w:rsidP="0086286B">
            <w:pPr>
              <w:pStyle w:val="Default"/>
              <w:rPr>
                <w:sz w:val="23"/>
                <w:szCs w:val="23"/>
                <w:u w:val="single"/>
              </w:rPr>
            </w:pPr>
            <w:r w:rsidRPr="00FA428F">
              <w:rPr>
                <w:b/>
                <w:bCs/>
                <w:sz w:val="23"/>
                <w:szCs w:val="23"/>
                <w:u w:val="single"/>
              </w:rPr>
              <w:t xml:space="preserve">Módulo 4 </w:t>
            </w:r>
          </w:p>
          <w:p w:rsidR="0086286B" w:rsidRDefault="0086286B" w:rsidP="00CC290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Cuestió</w:t>
            </w:r>
            <w:r w:rsidR="00FA428F">
              <w:rPr>
                <w:sz w:val="23"/>
                <w:szCs w:val="23"/>
              </w:rPr>
              <w:t xml:space="preserve">n Social en América Latina. </w:t>
            </w:r>
          </w:p>
          <w:p w:rsidR="00FA428F" w:rsidRDefault="00FA428F" w:rsidP="00CC290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 nueva cuestión social. </w:t>
            </w:r>
            <w:r w:rsidR="00540500">
              <w:rPr>
                <w:sz w:val="23"/>
                <w:szCs w:val="23"/>
              </w:rPr>
              <w:t>Cambio social.</w:t>
            </w:r>
          </w:p>
          <w:p w:rsidR="0086286B" w:rsidRPr="00FA428F" w:rsidRDefault="0086286B" w:rsidP="00CC290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FA428F">
              <w:rPr>
                <w:sz w:val="23"/>
                <w:szCs w:val="23"/>
              </w:rPr>
              <w:t xml:space="preserve">Relación Cuestión Social - Trabajo Social. </w:t>
            </w:r>
          </w:p>
          <w:p w:rsidR="0086286B" w:rsidRDefault="0086286B" w:rsidP="00F71215">
            <w:pPr>
              <w:pStyle w:val="Default"/>
              <w:rPr>
                <w:bCs/>
                <w:sz w:val="23"/>
                <w:szCs w:val="23"/>
              </w:rPr>
            </w:pPr>
          </w:p>
          <w:p w:rsidR="00FA428F" w:rsidRDefault="00FA428F" w:rsidP="00F71215">
            <w:pPr>
              <w:pStyle w:val="Default"/>
              <w:rPr>
                <w:bCs/>
                <w:sz w:val="23"/>
                <w:szCs w:val="23"/>
              </w:rPr>
            </w:pPr>
          </w:p>
          <w:p w:rsidR="00FA428F" w:rsidRPr="00FA428F" w:rsidRDefault="00FA428F" w:rsidP="00F71215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  <w:r w:rsidRPr="00FA428F">
              <w:rPr>
                <w:b/>
                <w:bCs/>
                <w:sz w:val="23"/>
                <w:szCs w:val="23"/>
                <w:u w:val="single"/>
              </w:rPr>
              <w:t xml:space="preserve">VI: Bibliografía: </w:t>
            </w:r>
          </w:p>
          <w:p w:rsidR="00FA428F" w:rsidRDefault="00FA428F" w:rsidP="00F71215">
            <w:pPr>
              <w:pStyle w:val="Default"/>
              <w:rPr>
                <w:bCs/>
                <w:sz w:val="23"/>
                <w:szCs w:val="23"/>
              </w:rPr>
            </w:pPr>
          </w:p>
          <w:p w:rsidR="0086286B" w:rsidRDefault="0086286B" w:rsidP="008628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Módulo 1 </w:t>
            </w:r>
          </w:p>
          <w:p w:rsidR="002139E1" w:rsidRPr="00CA69DE" w:rsidRDefault="00F85635" w:rsidP="00CC290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BAUMAN, Z.</w:t>
            </w:r>
            <w:r w:rsidR="0086286B" w:rsidRPr="002139E1">
              <w:rPr>
                <w:sz w:val="23"/>
                <w:szCs w:val="23"/>
              </w:rPr>
              <w:t xml:space="preserve"> – MAY, Tim Pensando sociológicamente. “Introducción”. Capítulo 10. Nueva Visión. </w:t>
            </w:r>
            <w:r w:rsidR="0086286B" w:rsidRPr="00CA69DE">
              <w:rPr>
                <w:sz w:val="23"/>
                <w:szCs w:val="23"/>
              </w:rPr>
              <w:t xml:space="preserve">Buenos Aires, 2007. </w:t>
            </w:r>
          </w:p>
          <w:p w:rsidR="002139E1" w:rsidRDefault="0086286B" w:rsidP="00CC290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CA69DE">
              <w:rPr>
                <w:sz w:val="23"/>
                <w:szCs w:val="23"/>
              </w:rPr>
              <w:t xml:space="preserve"> BOURDIEU, P</w:t>
            </w:r>
            <w:r w:rsidR="00F85635">
              <w:rPr>
                <w:sz w:val="23"/>
                <w:szCs w:val="23"/>
              </w:rPr>
              <w:t>.</w:t>
            </w:r>
            <w:r w:rsidRPr="00CA69DE">
              <w:rPr>
                <w:sz w:val="23"/>
                <w:szCs w:val="23"/>
              </w:rPr>
              <w:t xml:space="preserve"> - CHAMBOREBOON, J</w:t>
            </w:r>
            <w:r w:rsidR="00F85635">
              <w:rPr>
                <w:sz w:val="23"/>
                <w:szCs w:val="23"/>
              </w:rPr>
              <w:t>.</w:t>
            </w:r>
            <w:r w:rsidRPr="00CA69DE">
              <w:rPr>
                <w:sz w:val="23"/>
                <w:szCs w:val="23"/>
              </w:rPr>
              <w:t>C</w:t>
            </w:r>
            <w:r w:rsidR="00F85635">
              <w:rPr>
                <w:sz w:val="23"/>
                <w:szCs w:val="23"/>
              </w:rPr>
              <w:t>.</w:t>
            </w:r>
            <w:r w:rsidRPr="00CA69DE">
              <w:rPr>
                <w:sz w:val="23"/>
                <w:szCs w:val="23"/>
              </w:rPr>
              <w:t xml:space="preserve"> – PASSERON, J</w:t>
            </w:r>
            <w:r w:rsidR="00F85635">
              <w:rPr>
                <w:sz w:val="23"/>
                <w:szCs w:val="23"/>
              </w:rPr>
              <w:t>.</w:t>
            </w:r>
            <w:r w:rsidRPr="00CA69DE">
              <w:rPr>
                <w:sz w:val="23"/>
                <w:szCs w:val="23"/>
              </w:rPr>
              <w:t>C. El oficio de sociólogo.</w:t>
            </w:r>
            <w:r w:rsidRPr="002139E1">
              <w:rPr>
                <w:sz w:val="23"/>
                <w:szCs w:val="23"/>
              </w:rPr>
              <w:t xml:space="preserve"> Siglo XXI. Buenos Aires, 2009.</w:t>
            </w:r>
            <w:r w:rsidR="00540500">
              <w:rPr>
                <w:sz w:val="23"/>
                <w:szCs w:val="23"/>
              </w:rPr>
              <w:t xml:space="preserve"> Pág. 172 y 173.</w:t>
            </w:r>
            <w:r w:rsidRPr="002139E1">
              <w:rPr>
                <w:sz w:val="23"/>
                <w:szCs w:val="23"/>
              </w:rPr>
              <w:t xml:space="preserve"> </w:t>
            </w:r>
          </w:p>
          <w:p w:rsidR="0086286B" w:rsidRPr="002139E1" w:rsidRDefault="00F85635" w:rsidP="00CC290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MILLS, W</w:t>
            </w:r>
            <w:r w:rsidR="0086286B" w:rsidRPr="002139E1">
              <w:rPr>
                <w:sz w:val="23"/>
                <w:szCs w:val="23"/>
              </w:rPr>
              <w:t xml:space="preserve">. La imaginación sociológica. “La promesa” Fondo de Cultura Económica. México. 1994. </w:t>
            </w:r>
          </w:p>
          <w:p w:rsidR="00540500" w:rsidRPr="00CA69DE" w:rsidRDefault="00540500" w:rsidP="00CC290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CA69DE">
              <w:rPr>
                <w:sz w:val="23"/>
                <w:szCs w:val="23"/>
              </w:rPr>
              <w:t xml:space="preserve">NISBET, R. La formación del pensamiento sociológico. Tomo I y II. </w:t>
            </w:r>
            <w:proofErr w:type="spellStart"/>
            <w:r w:rsidRPr="00CA69DE">
              <w:rPr>
                <w:sz w:val="23"/>
                <w:szCs w:val="23"/>
              </w:rPr>
              <w:t>Amorrortu</w:t>
            </w:r>
            <w:proofErr w:type="spellEnd"/>
            <w:r w:rsidRPr="00CA69DE">
              <w:rPr>
                <w:sz w:val="23"/>
                <w:szCs w:val="23"/>
              </w:rPr>
              <w:t xml:space="preserve">. Buenos Aires, 2003. </w:t>
            </w:r>
          </w:p>
          <w:p w:rsidR="0086286B" w:rsidRDefault="0086286B" w:rsidP="0086286B">
            <w:pPr>
              <w:pStyle w:val="Default"/>
              <w:rPr>
                <w:sz w:val="23"/>
                <w:szCs w:val="23"/>
              </w:rPr>
            </w:pPr>
          </w:p>
          <w:p w:rsidR="0086286B" w:rsidRDefault="0086286B" w:rsidP="008628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Módulo 2 </w:t>
            </w:r>
          </w:p>
          <w:p w:rsidR="00540500" w:rsidRDefault="00540500" w:rsidP="00CC290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DURKHEIM, E. </w:t>
            </w:r>
            <w:r w:rsidR="00CC290E">
              <w:rPr>
                <w:sz w:val="23"/>
                <w:szCs w:val="23"/>
              </w:rPr>
              <w:t>“Las reglas del método sociológico”, Cap. ¿Qué es un Hecho Social? Alianza. Madrid 1988.</w:t>
            </w:r>
          </w:p>
          <w:p w:rsidR="00CC290E" w:rsidRDefault="00CC290E" w:rsidP="00CC290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732F11">
              <w:rPr>
                <w:sz w:val="23"/>
                <w:szCs w:val="23"/>
                <w:lang w:val="en-US"/>
              </w:rPr>
              <w:t xml:space="preserve">BOURDIEU, P. - CHAMBOREBOON, J.C – PASSERON, J. </w:t>
            </w:r>
            <w:proofErr w:type="gramStart"/>
            <w:r w:rsidRPr="00732F11">
              <w:rPr>
                <w:sz w:val="23"/>
                <w:szCs w:val="23"/>
                <w:lang w:val="en-US"/>
              </w:rPr>
              <w:t>C..</w:t>
            </w:r>
            <w:proofErr w:type="gramEnd"/>
            <w:r w:rsidRPr="00732F11">
              <w:rPr>
                <w:sz w:val="23"/>
                <w:szCs w:val="23"/>
                <w:lang w:val="en-US"/>
              </w:rPr>
              <w:t xml:space="preserve"> </w:t>
            </w:r>
            <w:r w:rsidRPr="00CA69DE">
              <w:rPr>
                <w:sz w:val="23"/>
                <w:szCs w:val="23"/>
              </w:rPr>
              <w:t>El oficio de sociólogo.</w:t>
            </w:r>
            <w:r w:rsidRPr="002139E1">
              <w:rPr>
                <w:sz w:val="23"/>
                <w:szCs w:val="23"/>
              </w:rPr>
              <w:t xml:space="preserve"> Siglo XXI. Buenos Aires, 2009.</w:t>
            </w:r>
            <w:r>
              <w:rPr>
                <w:sz w:val="23"/>
                <w:szCs w:val="23"/>
              </w:rPr>
              <w:t xml:space="preserve"> Pág. 212-217.</w:t>
            </w:r>
          </w:p>
          <w:p w:rsidR="003C0ECC" w:rsidRDefault="003C0ECC" w:rsidP="00CC290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REX, J. “Problemas fundamentales de la teoría sociológica”. </w:t>
            </w:r>
            <w:proofErr w:type="spellStart"/>
            <w:r>
              <w:t>Amorrortu</w:t>
            </w:r>
            <w:proofErr w:type="spellEnd"/>
            <w:r>
              <w:t>.  Bs. As.  1985.</w:t>
            </w:r>
          </w:p>
          <w:p w:rsidR="00CC290E" w:rsidRPr="002139E1" w:rsidRDefault="00CC290E" w:rsidP="00CC29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bookmarkStart w:id="0" w:name="_GoBack"/>
            <w:bookmarkEnd w:id="0"/>
            <w:r w:rsidRPr="002139E1">
              <w:rPr>
                <w:sz w:val="23"/>
                <w:szCs w:val="23"/>
              </w:rPr>
              <w:t>BERGER, P</w:t>
            </w:r>
            <w:r w:rsidR="00F85635">
              <w:rPr>
                <w:sz w:val="23"/>
                <w:szCs w:val="23"/>
              </w:rPr>
              <w:t>.</w:t>
            </w:r>
            <w:r w:rsidRPr="002139E1">
              <w:rPr>
                <w:sz w:val="23"/>
                <w:szCs w:val="23"/>
              </w:rPr>
              <w:t xml:space="preserve"> – LUCKMANN, T</w:t>
            </w:r>
            <w:r w:rsidR="00F85635">
              <w:rPr>
                <w:sz w:val="23"/>
                <w:szCs w:val="23"/>
              </w:rPr>
              <w:t>.</w:t>
            </w:r>
            <w:r w:rsidRPr="002139E1">
              <w:rPr>
                <w:sz w:val="23"/>
                <w:szCs w:val="23"/>
              </w:rPr>
              <w:t xml:space="preserve"> </w:t>
            </w:r>
            <w:r w:rsidR="00F85635">
              <w:rPr>
                <w:sz w:val="23"/>
                <w:szCs w:val="23"/>
              </w:rPr>
              <w:t>“</w:t>
            </w:r>
            <w:r w:rsidRPr="002139E1">
              <w:rPr>
                <w:sz w:val="23"/>
                <w:szCs w:val="23"/>
              </w:rPr>
              <w:t xml:space="preserve">La construcción social de la realidad. </w:t>
            </w:r>
            <w:proofErr w:type="spellStart"/>
            <w:r w:rsidRPr="002139E1">
              <w:rPr>
                <w:sz w:val="23"/>
                <w:szCs w:val="23"/>
              </w:rPr>
              <w:t>Amorrortu</w:t>
            </w:r>
            <w:proofErr w:type="spellEnd"/>
            <w:r w:rsidRPr="002139E1">
              <w:rPr>
                <w:sz w:val="23"/>
                <w:szCs w:val="23"/>
              </w:rPr>
              <w:t xml:space="preserve">. Buenos Aires, 1968. </w:t>
            </w:r>
          </w:p>
          <w:p w:rsidR="0086286B" w:rsidRPr="00CA69DE" w:rsidRDefault="0086286B" w:rsidP="0086286B">
            <w:pPr>
              <w:pStyle w:val="Default"/>
              <w:rPr>
                <w:sz w:val="23"/>
                <w:szCs w:val="23"/>
              </w:rPr>
            </w:pPr>
          </w:p>
          <w:p w:rsidR="0086286B" w:rsidRPr="00CA69DE" w:rsidRDefault="0086286B" w:rsidP="0086286B">
            <w:pPr>
              <w:pStyle w:val="Default"/>
              <w:rPr>
                <w:sz w:val="23"/>
                <w:szCs w:val="23"/>
              </w:rPr>
            </w:pPr>
            <w:r w:rsidRPr="00CA69DE">
              <w:rPr>
                <w:b/>
                <w:bCs/>
                <w:sz w:val="23"/>
                <w:szCs w:val="23"/>
              </w:rPr>
              <w:t xml:space="preserve">Módulo 3 </w:t>
            </w:r>
          </w:p>
          <w:tbl>
            <w:tblPr>
              <w:tblW w:w="100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43"/>
            </w:tblGrid>
            <w:tr w:rsidR="0086286B" w:rsidRPr="0086286B" w:rsidTr="002139E1">
              <w:trPr>
                <w:trHeight w:val="3394"/>
              </w:trPr>
              <w:tc>
                <w:tcPr>
                  <w:tcW w:w="10043" w:type="dxa"/>
                </w:tcPr>
                <w:p w:rsidR="00CA69DE" w:rsidRPr="000977C1" w:rsidRDefault="00CA69DE" w:rsidP="00341C1D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</w:t>
                  </w:r>
                  <w:r w:rsidR="00F85635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LTHUSSER</w:t>
                  </w: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, L.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:  </w:t>
                  </w:r>
                  <w:r w:rsidRPr="000977C1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  <w:t>“</w:t>
                  </w:r>
                  <w:proofErr w:type="gramEnd"/>
                  <w:r w:rsidRPr="000977C1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  <w:t>Ideología y aparatos ideológicos del Estado”.  Nueva visión.  Bs. As. 1988.</w:t>
                  </w:r>
                </w:p>
                <w:p w:rsidR="00CC290E" w:rsidRDefault="00CC290E" w:rsidP="00341C1D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0977C1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  <w:t>F</w:t>
                  </w:r>
                  <w:r w:rsidR="00F85635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  <w:t>OUCAULT</w:t>
                  </w:r>
                  <w:r w:rsidRPr="000977C1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  <w:t xml:space="preserve">, F.: “Las redes del poder”.  Revista </w:t>
                  </w:r>
                  <w:proofErr w:type="spellStart"/>
                  <w:r w:rsidRPr="000977C1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  <w:t>Farenheit</w:t>
                  </w:r>
                  <w:proofErr w:type="spellEnd"/>
                  <w:r w:rsidRPr="000977C1"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  <w:t xml:space="preserve">  450 número 1.  Bs. As.  1986.</w:t>
                  </w:r>
                </w:p>
                <w:p w:rsidR="00F85635" w:rsidRPr="00F85635" w:rsidRDefault="00F85635" w:rsidP="00F85635">
                  <w:pPr>
                    <w:pStyle w:val="NormalWeb"/>
                    <w:numPr>
                      <w:ilvl w:val="0"/>
                      <w:numId w:val="9"/>
                    </w:numPr>
                    <w:spacing w:before="0" w:beforeAutospacing="0" w:after="0" w:afterAutospacing="0"/>
                    <w:jc w:val="both"/>
                    <w:textAlignment w:val="baseline"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  <w:t>MARX, K. Y ENGELS, F.</w:t>
                  </w:r>
                  <w:r w:rsidRPr="00F85635">
                    <w:rPr>
                      <w:rFonts w:ascii="Calibri" w:hAnsi="Calibri" w:cs="Calibri"/>
                      <w:color w:val="222222"/>
                      <w:sz w:val="23"/>
                      <w:szCs w:val="23"/>
                    </w:rPr>
                    <w:t>:</w:t>
                  </w:r>
                  <w:proofErr w:type="gramStart"/>
                  <w:r w:rsidRPr="00F85635">
                    <w:rPr>
                      <w:rFonts w:ascii="Calibri" w:hAnsi="Calibri" w:cs="Calibri"/>
                      <w:color w:val="222222"/>
                      <w:sz w:val="23"/>
                      <w:szCs w:val="23"/>
                    </w:rPr>
                    <w:t>  “</w:t>
                  </w:r>
                  <w:proofErr w:type="gramEnd"/>
                  <w:r w:rsidRPr="00F85635">
                    <w:rPr>
                      <w:rFonts w:ascii="Calibri" w:hAnsi="Calibri" w:cs="Calibri"/>
                      <w:color w:val="222222"/>
                      <w:sz w:val="23"/>
                      <w:szCs w:val="23"/>
                    </w:rPr>
                    <w:t>La ideología Alemana”.  Introducción.  “La ideología en general y la ideología en particular”.  Grijalbo.  Barcelona. 1972</w:t>
                  </w:r>
                </w:p>
                <w:p w:rsidR="00F85635" w:rsidRPr="00F85635" w:rsidRDefault="00F85635" w:rsidP="00F85635">
                  <w:pPr>
                    <w:pStyle w:val="NormalWeb"/>
                    <w:numPr>
                      <w:ilvl w:val="0"/>
                      <w:numId w:val="9"/>
                    </w:numPr>
                    <w:shd w:val="clear" w:color="auto" w:fill="FFFFFF"/>
                    <w:spacing w:before="0" w:beforeAutospacing="0" w:after="0" w:afterAutospacing="0" w:line="253" w:lineRule="atLeast"/>
                    <w:jc w:val="both"/>
                    <w:textAlignment w:val="baseline"/>
                    <w:rPr>
                      <w:rFonts w:ascii="Calibri" w:hAnsi="Calibri" w:cs="Calibri"/>
                      <w:color w:val="222222"/>
                    </w:rPr>
                  </w:pPr>
                  <w:r w:rsidRPr="00F85635">
                    <w:rPr>
                      <w:rFonts w:ascii="Calibri" w:hAnsi="Calibri" w:cs="Calibri"/>
                    </w:rPr>
                    <w:t>GIDDENS, A. (1994). “Los escritos del joven Marx”. En: El capitalismo y la moderna teoría social, Primera parte: Marx, capítulo I. Barcelona: Labor [1971], pp. 31-55.</w:t>
                  </w:r>
                </w:p>
                <w:p w:rsidR="00F85635" w:rsidRPr="00F85635" w:rsidRDefault="00F85635" w:rsidP="00F85635">
                  <w:pPr>
                    <w:pStyle w:val="NormalWeb"/>
                    <w:numPr>
                      <w:ilvl w:val="0"/>
                      <w:numId w:val="9"/>
                    </w:numPr>
                    <w:shd w:val="clear" w:color="auto" w:fill="FFFFFF"/>
                    <w:spacing w:before="0" w:beforeAutospacing="0" w:after="0" w:afterAutospacing="0" w:line="253" w:lineRule="atLeast"/>
                    <w:jc w:val="both"/>
                    <w:textAlignment w:val="baseline"/>
                    <w:rPr>
                      <w:rFonts w:ascii="Calibri" w:hAnsi="Calibri" w:cs="Calibri"/>
                      <w:color w:val="222222"/>
                    </w:rPr>
                  </w:pPr>
                  <w:r w:rsidRPr="00F85635">
                    <w:rPr>
                      <w:rFonts w:ascii="Calibri" w:hAnsi="Calibri" w:cs="Calibri"/>
                      <w:color w:val="222222"/>
                    </w:rPr>
                    <w:t xml:space="preserve">Manifiesto </w:t>
                  </w:r>
                  <w:proofErr w:type="gramStart"/>
                  <w:r w:rsidRPr="00F85635">
                    <w:rPr>
                      <w:rFonts w:ascii="Calibri" w:hAnsi="Calibri" w:cs="Calibri"/>
                      <w:color w:val="222222"/>
                    </w:rPr>
                    <w:t>Comunista</w:t>
                  </w:r>
                  <w:proofErr w:type="gramEnd"/>
                  <w:r w:rsidRPr="00F85635">
                    <w:rPr>
                      <w:rFonts w:ascii="Calibri" w:hAnsi="Calibri" w:cs="Calibri"/>
                      <w:color w:val="222222"/>
                    </w:rPr>
                    <w:t>. Ediciones </w:t>
                  </w:r>
                  <w:hyperlink r:id="rId10" w:tgtFrame="_blank" w:history="1">
                    <w:r w:rsidRPr="00F85635">
                      <w:rPr>
                        <w:rFonts w:ascii="Calibri" w:hAnsi="Calibri" w:cs="Calibri"/>
                        <w:color w:val="1155CC"/>
                        <w:u w:val="single"/>
                      </w:rPr>
                      <w:t>elaleph.com</w:t>
                    </w:r>
                  </w:hyperlink>
                  <w:r w:rsidRPr="00F85635">
                    <w:rPr>
                      <w:rFonts w:ascii="Calibri" w:hAnsi="Calibri" w:cs="Calibri"/>
                      <w:color w:val="222222"/>
                    </w:rPr>
                    <w:t>. Pp. 25-48.</w:t>
                  </w:r>
                  <w:r>
                    <w:rPr>
                      <w:rFonts w:ascii="Calibri" w:hAnsi="Calibri" w:cs="Calibri"/>
                      <w:color w:val="222222"/>
                    </w:rPr>
                    <w:t xml:space="preserve"> </w:t>
                  </w:r>
                  <w:r w:rsidRPr="00F85635">
                    <w:rPr>
                      <w:rFonts w:ascii="Calibri" w:hAnsi="Calibri" w:cs="Calibri"/>
                      <w:i/>
                      <w:iCs/>
                      <w:color w:val="222222"/>
                    </w:rPr>
                    <w:t>La guerra civil en Francia</w:t>
                  </w:r>
                  <w:r w:rsidRPr="00F85635">
                    <w:rPr>
                      <w:rFonts w:ascii="Calibri" w:hAnsi="Calibri" w:cs="Calibri"/>
                      <w:color w:val="222222"/>
                    </w:rPr>
                    <w:t>. Manifiesto del Consejo General de la Asociación Internacional de los Trabajadores. Fundación Federico Engels Madrid, primera edición, Pp. 61-79.</w:t>
                  </w:r>
                </w:p>
                <w:p w:rsidR="00F85635" w:rsidRPr="000977C1" w:rsidRDefault="00F85635" w:rsidP="00F85635">
                  <w:pPr>
                    <w:pStyle w:val="NormalWeb"/>
                    <w:spacing w:before="0" w:beforeAutospacing="0" w:after="0" w:afterAutospacing="0"/>
                    <w:ind w:left="765"/>
                    <w:jc w:val="both"/>
                    <w:textAlignment w:val="baseline"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  <w:p w:rsidR="00CA69DE" w:rsidRPr="00CA69DE" w:rsidRDefault="00CA69DE" w:rsidP="00CA69D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5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</w:p>
                <w:p w:rsidR="0086286B" w:rsidRPr="0086286B" w:rsidRDefault="0086286B" w:rsidP="008628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86286B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Módulo 4 </w:t>
                  </w:r>
                </w:p>
                <w:p w:rsidR="00F85635" w:rsidRDefault="00F85635" w:rsidP="00341C1D">
                  <w:pPr>
                    <w:pStyle w:val="Prrafodelista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KESSLER, </w:t>
                  </w:r>
                  <w:r w:rsidR="00070933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Di VIRGILIO, “La nueva pobreza”, Revista de la </w:t>
                  </w:r>
                  <w:proofErr w:type="spellStart"/>
                  <w:r w:rsidR="00070933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Cepal</w:t>
                  </w:r>
                  <w:proofErr w:type="spellEnd"/>
                  <w:r w:rsidR="00070933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. 2008.</w:t>
                  </w:r>
                </w:p>
                <w:p w:rsidR="002139E1" w:rsidRPr="00CA69DE" w:rsidRDefault="0086286B" w:rsidP="00341C1D">
                  <w:pPr>
                    <w:pStyle w:val="Prrafodelista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CA69DE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CASTEL, Robert. La metamorfosis de la cuestión social. Una crónica del asalariado. Paidós. Buenos Aires, 1997. Introducción. </w:t>
                  </w:r>
                </w:p>
                <w:p w:rsidR="0086286B" w:rsidRPr="00CA69DE" w:rsidRDefault="00070933" w:rsidP="00341C1D">
                  <w:pPr>
                    <w:pStyle w:val="Prrafodelista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VILAS, C “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Deconstruyendo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la ciudadanía”: Fragmentación Social, globalización económica y política de identidades”, Estudios Sociales. Revista Universitaria Semestral. 1999. Pág. 111-132.</w:t>
                  </w:r>
                  <w:r w:rsidR="0086286B" w:rsidRPr="00CA69DE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86286B" w:rsidRPr="0086286B" w:rsidRDefault="0086286B" w:rsidP="008628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86286B" w:rsidRPr="0086286B" w:rsidTr="002139E1">
              <w:trPr>
                <w:trHeight w:val="120"/>
              </w:trPr>
              <w:tc>
                <w:tcPr>
                  <w:tcW w:w="10043" w:type="dxa"/>
                </w:tcPr>
                <w:p w:rsidR="0086286B" w:rsidRPr="0086286B" w:rsidRDefault="0086286B" w:rsidP="008628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86286B" w:rsidRPr="00F71215" w:rsidRDefault="0086286B" w:rsidP="00F71215">
            <w:pPr>
              <w:pStyle w:val="Default"/>
              <w:rPr>
                <w:bCs/>
                <w:sz w:val="23"/>
                <w:szCs w:val="23"/>
              </w:rPr>
            </w:pPr>
          </w:p>
        </w:tc>
      </w:tr>
    </w:tbl>
    <w:p w:rsidR="00826651" w:rsidRPr="00F71215" w:rsidRDefault="00826651" w:rsidP="00826651">
      <w:pPr>
        <w:spacing w:after="0"/>
        <w:jc w:val="both"/>
      </w:pPr>
    </w:p>
    <w:sectPr w:rsidR="00826651" w:rsidRPr="00F71215" w:rsidSect="008266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C8" w:rsidRDefault="008B5AC8" w:rsidP="00540500">
      <w:pPr>
        <w:spacing w:after="0" w:line="240" w:lineRule="auto"/>
      </w:pPr>
      <w:r>
        <w:separator/>
      </w:r>
    </w:p>
  </w:endnote>
  <w:endnote w:type="continuationSeparator" w:id="0">
    <w:p w:rsidR="008B5AC8" w:rsidRDefault="008B5AC8" w:rsidP="0054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C8" w:rsidRDefault="008B5AC8" w:rsidP="00540500">
      <w:pPr>
        <w:spacing w:after="0" w:line="240" w:lineRule="auto"/>
      </w:pPr>
      <w:r>
        <w:separator/>
      </w:r>
    </w:p>
  </w:footnote>
  <w:footnote w:type="continuationSeparator" w:id="0">
    <w:p w:rsidR="008B5AC8" w:rsidRDefault="008B5AC8" w:rsidP="00540500">
      <w:pPr>
        <w:spacing w:after="0" w:line="240" w:lineRule="auto"/>
      </w:pPr>
      <w:r>
        <w:continuationSeparator/>
      </w:r>
    </w:p>
  </w:footnote>
  <w:footnote w:id="1">
    <w:p w:rsidR="00540500" w:rsidRPr="00540500" w:rsidRDefault="0054050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Sujeto a criterios institucionales debido a situación de pandemia que obliga al inicio de cursada (por el momento) de manera virtual. </w:t>
      </w:r>
    </w:p>
  </w:footnote>
  <w:footnote w:id="2">
    <w:p w:rsidR="00540500" w:rsidRPr="00540500" w:rsidRDefault="0054050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Ídem.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DDF"/>
    <w:multiLevelType w:val="hybridMultilevel"/>
    <w:tmpl w:val="61069698"/>
    <w:lvl w:ilvl="0" w:tplc="4FF61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210E1"/>
    <w:multiLevelType w:val="hybridMultilevel"/>
    <w:tmpl w:val="8FECD3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14183"/>
    <w:multiLevelType w:val="hybridMultilevel"/>
    <w:tmpl w:val="22BA7B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41593"/>
    <w:multiLevelType w:val="hybridMultilevel"/>
    <w:tmpl w:val="A5AE82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C6114"/>
    <w:multiLevelType w:val="multilevel"/>
    <w:tmpl w:val="128C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625E00"/>
    <w:multiLevelType w:val="hybridMultilevel"/>
    <w:tmpl w:val="0400CB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1763F"/>
    <w:multiLevelType w:val="hybridMultilevel"/>
    <w:tmpl w:val="3B582F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B5CF2"/>
    <w:multiLevelType w:val="hybridMultilevel"/>
    <w:tmpl w:val="4B00B02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7D36918"/>
    <w:multiLevelType w:val="hybridMultilevel"/>
    <w:tmpl w:val="1616C0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61DBB"/>
    <w:multiLevelType w:val="hybridMultilevel"/>
    <w:tmpl w:val="AB649782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E5D0A31"/>
    <w:multiLevelType w:val="hybridMultilevel"/>
    <w:tmpl w:val="399EB2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51"/>
    <w:rsid w:val="00054144"/>
    <w:rsid w:val="00070933"/>
    <w:rsid w:val="000977C1"/>
    <w:rsid w:val="002139E1"/>
    <w:rsid w:val="00341C1D"/>
    <w:rsid w:val="003A1C64"/>
    <w:rsid w:val="003C0ECC"/>
    <w:rsid w:val="00423B50"/>
    <w:rsid w:val="00540500"/>
    <w:rsid w:val="005859C9"/>
    <w:rsid w:val="00704196"/>
    <w:rsid w:val="00732F11"/>
    <w:rsid w:val="007F30C6"/>
    <w:rsid w:val="00826651"/>
    <w:rsid w:val="00836AFC"/>
    <w:rsid w:val="0086286B"/>
    <w:rsid w:val="008B5AC8"/>
    <w:rsid w:val="00A563A6"/>
    <w:rsid w:val="00B63104"/>
    <w:rsid w:val="00BF5CAE"/>
    <w:rsid w:val="00CA69DE"/>
    <w:rsid w:val="00CC290E"/>
    <w:rsid w:val="00F71215"/>
    <w:rsid w:val="00F85635"/>
    <w:rsid w:val="00FA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26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6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63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050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050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0500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F856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26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6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63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050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050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0500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F85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laleph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8940-F9BA-4074-8B22-B09DFF4D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1104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Jorge Orovitz</cp:lastModifiedBy>
  <cp:revision>5</cp:revision>
  <cp:lastPrinted>2019-03-21T00:58:00Z</cp:lastPrinted>
  <dcterms:created xsi:type="dcterms:W3CDTF">2020-03-30T16:34:00Z</dcterms:created>
  <dcterms:modified xsi:type="dcterms:W3CDTF">2020-05-13T12:27:00Z</dcterms:modified>
</cp:coreProperties>
</file>